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30" w:rsidRPr="00C37730" w:rsidRDefault="00C37730" w:rsidP="00C37730">
      <w:pPr>
        <w:pStyle w:val="Titolo2"/>
        <w:jc w:val="center"/>
        <w:rPr>
          <w:rFonts w:asciiTheme="minorHAnsi" w:hAnsiTheme="minorHAnsi"/>
          <w:b w:val="0"/>
          <w:bCs w:val="0"/>
          <w:smallCaps/>
          <w:sz w:val="32"/>
          <w:szCs w:val="32"/>
        </w:rPr>
      </w:pPr>
      <w:r w:rsidRPr="00C37730">
        <w:rPr>
          <w:rFonts w:asciiTheme="minorHAnsi" w:hAnsiTheme="minorHAnsi"/>
          <w:b w:val="0"/>
          <w:bCs w:val="0"/>
          <w:smallCaps/>
          <w:sz w:val="32"/>
          <w:szCs w:val="32"/>
        </w:rPr>
        <w:t>Istituto italiano per gli studi storici</w:t>
      </w:r>
    </w:p>
    <w:p w:rsidR="00C37730" w:rsidRPr="00C37730" w:rsidRDefault="00C37730" w:rsidP="00C37730">
      <w:pPr>
        <w:pStyle w:val="Titolo2"/>
        <w:jc w:val="left"/>
        <w:rPr>
          <w:rFonts w:asciiTheme="minorHAnsi" w:hAnsiTheme="minorHAnsi"/>
          <w:b w:val="0"/>
          <w:bCs w:val="0"/>
          <w:smallCaps/>
          <w:sz w:val="32"/>
          <w:szCs w:val="32"/>
        </w:rPr>
      </w:pPr>
    </w:p>
    <w:p w:rsidR="00C37730" w:rsidRPr="00C37730" w:rsidRDefault="00C37730" w:rsidP="00C37730">
      <w:pPr>
        <w:pStyle w:val="Titolo2"/>
        <w:spacing w:line="480" w:lineRule="auto"/>
        <w:jc w:val="center"/>
        <w:rPr>
          <w:rFonts w:asciiTheme="minorHAnsi" w:hAnsiTheme="minorHAnsi"/>
          <w:b w:val="0"/>
          <w:bCs w:val="0"/>
          <w:lang w:val="it-IT"/>
        </w:rPr>
      </w:pPr>
      <w:r w:rsidRPr="00C37730">
        <w:rPr>
          <w:rFonts w:asciiTheme="minorHAnsi" w:hAnsiTheme="minorHAnsi"/>
          <w:b w:val="0"/>
          <w:bCs w:val="0"/>
        </w:rPr>
        <w:t>Anno accademico 20</w:t>
      </w:r>
      <w:r w:rsidRPr="00C37730">
        <w:rPr>
          <w:rFonts w:asciiTheme="minorHAnsi" w:hAnsiTheme="minorHAnsi"/>
          <w:b w:val="0"/>
          <w:bCs w:val="0"/>
          <w:lang w:val="it-IT"/>
        </w:rPr>
        <w:t>15</w:t>
      </w:r>
      <w:r w:rsidRPr="00C37730">
        <w:rPr>
          <w:rFonts w:asciiTheme="minorHAnsi" w:hAnsiTheme="minorHAnsi"/>
          <w:b w:val="0"/>
          <w:bCs w:val="0"/>
        </w:rPr>
        <w:t xml:space="preserve"> – 201</w:t>
      </w:r>
      <w:r w:rsidRPr="00C37730">
        <w:rPr>
          <w:rFonts w:asciiTheme="minorHAnsi" w:hAnsiTheme="minorHAnsi"/>
          <w:b w:val="0"/>
          <w:bCs w:val="0"/>
          <w:lang w:val="it-IT"/>
        </w:rPr>
        <w:t>6</w:t>
      </w:r>
    </w:p>
    <w:p w:rsidR="00C37730" w:rsidRDefault="00C37730" w:rsidP="00C37730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Corso di </w:t>
      </w:r>
      <w:r w:rsidRPr="00C37730">
        <w:rPr>
          <w:sz w:val="24"/>
          <w:szCs w:val="24"/>
          <w:lang w:eastAsia="ar-SA"/>
        </w:rPr>
        <w:t xml:space="preserve">Marta </w:t>
      </w:r>
      <w:proofErr w:type="spellStart"/>
      <w:r w:rsidRPr="00C37730">
        <w:rPr>
          <w:sz w:val="24"/>
          <w:szCs w:val="24"/>
          <w:lang w:eastAsia="ar-SA"/>
        </w:rPr>
        <w:t>Herling</w:t>
      </w:r>
      <w:proofErr w:type="spellEnd"/>
    </w:p>
    <w:p w:rsidR="00C37730" w:rsidRDefault="00C37730" w:rsidP="00C37730">
      <w:pPr>
        <w:jc w:val="center"/>
        <w:rPr>
          <w:sz w:val="24"/>
          <w:szCs w:val="24"/>
          <w:lang w:eastAsia="ar-SA"/>
        </w:rPr>
      </w:pPr>
      <w:r w:rsidRPr="00C37730">
        <w:rPr>
          <w:i/>
          <w:sz w:val="24"/>
          <w:szCs w:val="24"/>
          <w:lang w:eastAsia="ar-SA"/>
        </w:rPr>
        <w:t>Sull’</w:t>
      </w:r>
      <w:proofErr w:type="spellStart"/>
      <w:r>
        <w:rPr>
          <w:sz w:val="24"/>
          <w:szCs w:val="24"/>
          <w:lang w:eastAsia="ar-SA"/>
        </w:rPr>
        <w:t>intelligentsia</w:t>
      </w:r>
      <w:proofErr w:type="spellEnd"/>
      <w:r>
        <w:rPr>
          <w:sz w:val="24"/>
          <w:szCs w:val="24"/>
          <w:lang w:eastAsia="ar-SA"/>
        </w:rPr>
        <w:t xml:space="preserve"> </w:t>
      </w:r>
      <w:r w:rsidRPr="00C37730">
        <w:rPr>
          <w:i/>
          <w:sz w:val="24"/>
          <w:szCs w:val="24"/>
          <w:lang w:eastAsia="ar-SA"/>
        </w:rPr>
        <w:t>in Polonia fra Otto e Novecento</w:t>
      </w:r>
    </w:p>
    <w:p w:rsidR="00C37730" w:rsidRDefault="00C37730" w:rsidP="00C37730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Bibliografia</w:t>
      </w:r>
    </w:p>
    <w:p w:rsidR="00D951A5" w:rsidRDefault="00C91AD8" w:rsidP="00C91AD8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Testi in trad. </w:t>
      </w:r>
      <w:proofErr w:type="spellStart"/>
      <w:r>
        <w:rPr>
          <w:sz w:val="24"/>
          <w:szCs w:val="24"/>
          <w:lang w:eastAsia="ar-SA"/>
        </w:rPr>
        <w:t>it</w:t>
      </w:r>
      <w:proofErr w:type="spellEnd"/>
      <w:r>
        <w:rPr>
          <w:sz w:val="24"/>
          <w:szCs w:val="24"/>
          <w:lang w:eastAsia="ar-SA"/>
        </w:rPr>
        <w:t>.</w:t>
      </w:r>
    </w:p>
    <w:p w:rsidR="00191083" w:rsidRDefault="00191083" w:rsidP="00D951A5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191083">
        <w:rPr>
          <w:lang w:val="en-US"/>
        </w:rPr>
        <w:t xml:space="preserve">J. </w:t>
      </w:r>
      <w:proofErr w:type="spellStart"/>
      <w:r w:rsidRPr="00191083">
        <w:rPr>
          <w:lang w:val="en-US"/>
        </w:rPr>
        <w:t>Czapski</w:t>
      </w:r>
      <w:proofErr w:type="spellEnd"/>
      <w:r w:rsidRPr="00191083">
        <w:rPr>
          <w:lang w:val="en-US"/>
        </w:rPr>
        <w:t xml:space="preserve">, </w:t>
      </w:r>
      <w:r w:rsidRPr="00C91AD8">
        <w:rPr>
          <w:i/>
          <w:lang w:val="en-US"/>
        </w:rPr>
        <w:t xml:space="preserve">Proust a </w:t>
      </w:r>
      <w:proofErr w:type="spellStart"/>
      <w:r w:rsidRPr="00C91AD8">
        <w:rPr>
          <w:i/>
          <w:lang w:val="en-US"/>
        </w:rPr>
        <w:t>Grjazovec</w:t>
      </w:r>
      <w:proofErr w:type="spellEnd"/>
      <w:r w:rsidRPr="00C91AD8">
        <w:rPr>
          <w:i/>
          <w:lang w:val="en-US"/>
        </w:rPr>
        <w:t xml:space="preserve"> . </w:t>
      </w:r>
      <w:r w:rsidRPr="00C91AD8">
        <w:rPr>
          <w:i/>
        </w:rPr>
        <w:t>Conferenze clandestine</w:t>
      </w:r>
      <w:r w:rsidRPr="00191083">
        <w:t xml:space="preserve"> </w:t>
      </w:r>
      <w:r>
        <w:t xml:space="preserve">(1940-1941), Milano, Adelphi 2015 (in part. W. </w:t>
      </w:r>
      <w:proofErr w:type="spellStart"/>
      <w:r>
        <w:t>Karpinski</w:t>
      </w:r>
      <w:proofErr w:type="spellEnd"/>
      <w:r>
        <w:t xml:space="preserve">, </w:t>
      </w:r>
      <w:r w:rsidRPr="00C91AD8">
        <w:rPr>
          <w:i/>
        </w:rPr>
        <w:t xml:space="preserve">Testimone del secolo. </w:t>
      </w:r>
      <w:r w:rsidR="00C91AD8" w:rsidRPr="00C91AD8">
        <w:rPr>
          <w:i/>
        </w:rPr>
        <w:t xml:space="preserve">Ritratto di </w:t>
      </w:r>
      <w:proofErr w:type="spellStart"/>
      <w:r w:rsidR="00C91AD8" w:rsidRPr="00C91AD8">
        <w:rPr>
          <w:i/>
        </w:rPr>
        <w:t>Czapski</w:t>
      </w:r>
      <w:proofErr w:type="spellEnd"/>
      <w:r w:rsidR="00C91AD8">
        <w:t>, pp. 99-125</w:t>
      </w:r>
      <w:r>
        <w:t>)</w:t>
      </w:r>
      <w:r w:rsidR="00C91AD8">
        <w:t>.</w:t>
      </w:r>
    </w:p>
    <w:p w:rsidR="00C91AD8" w:rsidRDefault="00C91AD8" w:rsidP="00D951A5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G. </w:t>
      </w:r>
      <w:proofErr w:type="spellStart"/>
      <w:r>
        <w:t>Herling</w:t>
      </w:r>
      <w:proofErr w:type="spellEnd"/>
      <w:r>
        <w:t xml:space="preserve">, </w:t>
      </w:r>
      <w:r w:rsidRPr="00C91AD8">
        <w:rPr>
          <w:i/>
        </w:rPr>
        <w:t>Un mondo a parte. Memorie dal gulag</w:t>
      </w:r>
      <w:r>
        <w:t xml:space="preserve"> (1951), Milano, Feltrinelli, 1994.</w:t>
      </w:r>
    </w:p>
    <w:p w:rsidR="00D951A5" w:rsidRDefault="00D951A5" w:rsidP="00D951A5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G. </w:t>
      </w:r>
      <w:proofErr w:type="spellStart"/>
      <w:r>
        <w:t>Herling</w:t>
      </w:r>
      <w:proofErr w:type="spellEnd"/>
      <w:r>
        <w:t xml:space="preserve">, </w:t>
      </w:r>
      <w:r>
        <w:rPr>
          <w:i/>
        </w:rPr>
        <w:t>Il pellegrino della libertà. Saggi e racconti</w:t>
      </w:r>
      <w:r w:rsidR="00191083">
        <w:rPr>
          <w:i/>
        </w:rPr>
        <w:t xml:space="preserve"> </w:t>
      </w:r>
      <w:r w:rsidR="00191083">
        <w:t>(1951 – 2000)</w:t>
      </w:r>
      <w:r>
        <w:rPr>
          <w:i/>
        </w:rPr>
        <w:t>,</w:t>
      </w:r>
      <w:r>
        <w:t xml:space="preserve"> a c. di M. </w:t>
      </w:r>
      <w:proofErr w:type="spellStart"/>
      <w:r>
        <w:t>Herling</w:t>
      </w:r>
      <w:proofErr w:type="spellEnd"/>
      <w:r>
        <w:t>,</w:t>
      </w:r>
      <w:r>
        <w:rPr>
          <w:i/>
        </w:rPr>
        <w:t xml:space="preserve"> </w:t>
      </w:r>
      <w:r>
        <w:t>Napoli, l’ancora del mediterraneo, 2006.</w:t>
      </w:r>
    </w:p>
    <w:p w:rsidR="00D951A5" w:rsidRDefault="00191083" w:rsidP="00D951A5">
      <w:pPr>
        <w:numPr>
          <w:ilvl w:val="0"/>
          <w:numId w:val="2"/>
        </w:numPr>
        <w:spacing w:after="0" w:line="240" w:lineRule="auto"/>
        <w:ind w:left="714" w:hanging="357"/>
        <w:jc w:val="both"/>
      </w:pPr>
      <w:proofErr w:type="spellStart"/>
      <w:r>
        <w:t>Cz</w:t>
      </w:r>
      <w:proofErr w:type="spellEnd"/>
      <w:r>
        <w:t xml:space="preserve">. </w:t>
      </w:r>
      <w:proofErr w:type="spellStart"/>
      <w:r>
        <w:t>Milosz</w:t>
      </w:r>
      <w:proofErr w:type="spellEnd"/>
      <w:r>
        <w:t xml:space="preserve">, </w:t>
      </w:r>
      <w:r w:rsidRPr="00C91AD8">
        <w:rPr>
          <w:i/>
        </w:rPr>
        <w:t>Europa familiare</w:t>
      </w:r>
      <w:r>
        <w:t xml:space="preserve"> (1959), Milano, Silva 1961. Nuova ed., Milano, Adelphi.</w:t>
      </w:r>
    </w:p>
    <w:p w:rsidR="00191083" w:rsidRDefault="00191083" w:rsidP="00D951A5">
      <w:pPr>
        <w:numPr>
          <w:ilvl w:val="0"/>
          <w:numId w:val="2"/>
        </w:numPr>
        <w:spacing w:after="0" w:line="240" w:lineRule="auto"/>
        <w:ind w:left="714" w:hanging="357"/>
        <w:jc w:val="both"/>
      </w:pPr>
      <w:proofErr w:type="spellStart"/>
      <w:r>
        <w:t>Cz</w:t>
      </w:r>
      <w:proofErr w:type="spellEnd"/>
      <w:r>
        <w:t xml:space="preserve">. </w:t>
      </w:r>
      <w:proofErr w:type="spellStart"/>
      <w:r>
        <w:t>Milosz</w:t>
      </w:r>
      <w:proofErr w:type="spellEnd"/>
      <w:r>
        <w:t xml:space="preserve">, </w:t>
      </w:r>
      <w:r w:rsidRPr="00C91AD8">
        <w:rPr>
          <w:i/>
        </w:rPr>
        <w:t>La mente prigioniera</w:t>
      </w:r>
      <w:r>
        <w:t xml:space="preserve"> (1953), Milano, Adelphi, 1981.</w:t>
      </w:r>
    </w:p>
    <w:p w:rsidR="00191083" w:rsidRDefault="00191083" w:rsidP="00D951A5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A. </w:t>
      </w:r>
      <w:proofErr w:type="spellStart"/>
      <w:r>
        <w:t>Wat</w:t>
      </w:r>
      <w:proofErr w:type="spellEnd"/>
      <w:r>
        <w:t xml:space="preserve">, </w:t>
      </w:r>
      <w:r w:rsidRPr="00C91AD8">
        <w:rPr>
          <w:i/>
        </w:rPr>
        <w:t>Il mio secolo</w:t>
      </w:r>
      <w:r w:rsidR="00C40678">
        <w:rPr>
          <w:i/>
        </w:rPr>
        <w:t xml:space="preserve"> .Memorie e discorsi con </w:t>
      </w:r>
      <w:proofErr w:type="spellStart"/>
      <w:r w:rsidR="00C40678">
        <w:rPr>
          <w:i/>
        </w:rPr>
        <w:t>Cz</w:t>
      </w:r>
      <w:proofErr w:type="spellEnd"/>
      <w:r w:rsidR="00C40678">
        <w:rPr>
          <w:i/>
        </w:rPr>
        <w:t xml:space="preserve">. </w:t>
      </w:r>
      <w:proofErr w:type="spellStart"/>
      <w:r w:rsidR="00C40678">
        <w:rPr>
          <w:i/>
        </w:rPr>
        <w:t>Milosz</w:t>
      </w:r>
      <w:proofErr w:type="spellEnd"/>
      <w:r w:rsidR="00C40678">
        <w:rPr>
          <w:i/>
        </w:rPr>
        <w:t xml:space="preserve"> </w:t>
      </w:r>
      <w:r w:rsidR="00C40678">
        <w:t>(1977)</w:t>
      </w:r>
      <w:r>
        <w:t>, Palermo, Sellerio</w:t>
      </w:r>
      <w:r w:rsidR="00C40678">
        <w:t>, 2013.</w:t>
      </w:r>
    </w:p>
    <w:p w:rsidR="00C91AD8" w:rsidRDefault="00C91AD8" w:rsidP="00C91AD8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W. </w:t>
      </w:r>
      <w:proofErr w:type="spellStart"/>
      <w:r>
        <w:t>Kula</w:t>
      </w:r>
      <w:proofErr w:type="spellEnd"/>
      <w:r>
        <w:t xml:space="preserve">, </w:t>
      </w:r>
      <w:r>
        <w:rPr>
          <w:i/>
          <w:iCs/>
        </w:rPr>
        <w:t xml:space="preserve">Riflessioni sulla storia </w:t>
      </w:r>
      <w:r>
        <w:rPr>
          <w:iCs/>
        </w:rPr>
        <w:t>(1958)</w:t>
      </w:r>
      <w:r>
        <w:rPr>
          <w:i/>
          <w:iCs/>
        </w:rPr>
        <w:t xml:space="preserve">, </w:t>
      </w:r>
      <w:r>
        <w:t xml:space="preserve">a cura di M. </w:t>
      </w:r>
      <w:proofErr w:type="spellStart"/>
      <w:r>
        <w:t>Herling</w:t>
      </w:r>
      <w:proofErr w:type="spellEnd"/>
      <w:r>
        <w:t>, Venezia, Marsilio, 1990, pp. 234.</w:t>
      </w:r>
    </w:p>
    <w:p w:rsidR="00C91AD8" w:rsidRDefault="00C91AD8" w:rsidP="00C91AD8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W. </w:t>
      </w:r>
      <w:proofErr w:type="spellStart"/>
      <w:r>
        <w:t>Kula</w:t>
      </w:r>
      <w:proofErr w:type="spellEnd"/>
      <w:r>
        <w:t xml:space="preserve">, </w:t>
      </w:r>
      <w:r>
        <w:rPr>
          <w:i/>
          <w:iCs/>
        </w:rPr>
        <w:t xml:space="preserve">La mia educazione sentimentale </w:t>
      </w:r>
      <w:r>
        <w:rPr>
          <w:iCs/>
        </w:rPr>
        <w:t>(1976)</w:t>
      </w:r>
      <w:r w:rsidRPr="00B3344A">
        <w:rPr>
          <w:iCs/>
        </w:rPr>
        <w:t xml:space="preserve">, a cura </w:t>
      </w:r>
      <w:r>
        <w:t xml:space="preserve">di </w:t>
      </w:r>
      <w:smartTag w:uri="urn:schemas-microsoft-com:office:smarttags" w:element="PersonName">
        <w:smartTagPr>
          <w:attr w:name="ProductID" w:val="M. Herling"/>
        </w:smartTagPr>
        <w:r>
          <w:t xml:space="preserve">M. </w:t>
        </w:r>
        <w:proofErr w:type="spellStart"/>
        <w:r>
          <w:t>Herling</w:t>
        </w:r>
      </w:smartTag>
      <w:proofErr w:type="spellEnd"/>
      <w:r>
        <w:t>, “Rivista Storica Italiana”, XCIX, 3 (1987), pp. 674-95.</w:t>
      </w:r>
    </w:p>
    <w:p w:rsidR="00C91AD8" w:rsidRDefault="00C91AD8" w:rsidP="00D951A5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K. </w:t>
      </w:r>
      <w:proofErr w:type="spellStart"/>
      <w:r>
        <w:t>Modzelewski</w:t>
      </w:r>
      <w:proofErr w:type="spellEnd"/>
      <w:r>
        <w:t xml:space="preserve">, </w:t>
      </w:r>
      <w:r w:rsidRPr="00C91AD8">
        <w:rPr>
          <w:i/>
        </w:rPr>
        <w:t>L’Europa dei barbari</w:t>
      </w:r>
      <w:r>
        <w:t xml:space="preserve">  (2004), Torino, Bollati </w:t>
      </w:r>
      <w:proofErr w:type="spellStart"/>
      <w:r>
        <w:t>Boringhieri</w:t>
      </w:r>
      <w:proofErr w:type="spellEnd"/>
      <w:r>
        <w:t xml:space="preserve">, 2008, Introduzione pp. 9-20. </w:t>
      </w:r>
    </w:p>
    <w:p w:rsidR="00D34A06" w:rsidRDefault="00D34A06" w:rsidP="00D951A5">
      <w:pPr>
        <w:jc w:val="both"/>
        <w:rPr>
          <w:sz w:val="24"/>
          <w:szCs w:val="24"/>
          <w:lang w:eastAsia="ar-SA"/>
        </w:rPr>
      </w:pPr>
    </w:p>
    <w:p w:rsidR="00D951A5" w:rsidRDefault="00D34A06" w:rsidP="00D951A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Saggi e studi</w:t>
      </w:r>
    </w:p>
    <w:p w:rsidR="00D34A06" w:rsidRPr="00C37730" w:rsidRDefault="00D34A06" w:rsidP="00D34A06">
      <w:pPr>
        <w:spacing w:after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M. </w:t>
      </w:r>
      <w:proofErr w:type="spellStart"/>
      <w:r>
        <w:rPr>
          <w:sz w:val="24"/>
          <w:szCs w:val="24"/>
          <w:lang w:eastAsia="ar-SA"/>
        </w:rPr>
        <w:t>Herling</w:t>
      </w:r>
      <w:proofErr w:type="spellEnd"/>
    </w:p>
    <w:p w:rsidR="00C37730" w:rsidRDefault="00C37730" w:rsidP="00D34A0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fr-FR"/>
        </w:rPr>
      </w:pPr>
      <w:proofErr w:type="spellStart"/>
      <w:r>
        <w:rPr>
          <w:i/>
          <w:iCs/>
          <w:lang w:val="fr-FR"/>
        </w:rPr>
        <w:t>Witold</w:t>
      </w:r>
      <w:proofErr w:type="spellEnd"/>
      <w:r>
        <w:rPr>
          <w:i/>
          <w:iCs/>
          <w:lang w:val="fr-FR"/>
        </w:rPr>
        <w:t xml:space="preserve"> Kula et l’historiographie polonaise du XXème siècle, </w:t>
      </w:r>
      <w:r>
        <w:rPr>
          <w:lang w:val="fr-FR"/>
        </w:rPr>
        <w:t xml:space="preserve">in : </w:t>
      </w:r>
      <w:r>
        <w:rPr>
          <w:i/>
          <w:iCs/>
          <w:lang w:val="fr-FR"/>
        </w:rPr>
        <w:t xml:space="preserve">Les mesures et l’histoire, </w:t>
      </w:r>
      <w:r>
        <w:rPr>
          <w:lang w:val="fr-FR"/>
        </w:rPr>
        <w:t xml:space="preserve">"Cahiers de métrologie" </w:t>
      </w:r>
      <w:proofErr w:type="spellStart"/>
      <w:r>
        <w:rPr>
          <w:lang w:val="fr-FR"/>
        </w:rPr>
        <w:t>numèro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</w:t>
      </w:r>
      <w:proofErr w:type="spellEnd"/>
      <w:r>
        <w:rPr>
          <w:lang w:val="fr-FR"/>
        </w:rPr>
        <w:t>, Paris 1984, pp. 37-53.</w:t>
      </w:r>
    </w:p>
    <w:p w:rsidR="00C37730" w:rsidRDefault="00C37730" w:rsidP="00C37730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i/>
          <w:iCs/>
        </w:rPr>
        <w:t xml:space="preserve">Una storia per comprendere il presente : l’opera di </w:t>
      </w:r>
      <w:proofErr w:type="spellStart"/>
      <w:r>
        <w:rPr>
          <w:i/>
          <w:iCs/>
        </w:rPr>
        <w:t>Witold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Kula</w:t>
      </w:r>
      <w:proofErr w:type="spellEnd"/>
      <w:r>
        <w:rPr>
          <w:i/>
          <w:iCs/>
        </w:rPr>
        <w:t xml:space="preserve">, </w:t>
      </w:r>
      <w:r>
        <w:t>“Passato e presente”, 10 (1986), pp. 95-126.</w:t>
      </w:r>
    </w:p>
    <w:p w:rsidR="00C37730" w:rsidRDefault="00C37730" w:rsidP="00C37730">
      <w:pPr>
        <w:numPr>
          <w:ilvl w:val="0"/>
          <w:numId w:val="2"/>
        </w:numPr>
        <w:spacing w:after="0" w:line="240" w:lineRule="auto"/>
        <w:ind w:left="714" w:hanging="357"/>
        <w:jc w:val="both"/>
      </w:pPr>
      <w:proofErr w:type="spellStart"/>
      <w:r>
        <w:rPr>
          <w:i/>
          <w:iCs/>
        </w:rPr>
        <w:t>Witold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</w:t>
      </w:r>
      <w:proofErr w:type="spellEnd"/>
      <w:r>
        <w:rPr>
          <w:i/>
          <w:iCs/>
        </w:rPr>
        <w:t xml:space="preserve"> l’</w:t>
      </w:r>
      <w:proofErr w:type="spellStart"/>
      <w:r>
        <w:rPr>
          <w:i/>
          <w:iCs/>
        </w:rPr>
        <w:t>historiographie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europèenne</w:t>
      </w:r>
      <w:proofErr w:type="spellEnd"/>
      <w:r>
        <w:rPr>
          <w:i/>
          <w:iCs/>
        </w:rPr>
        <w:t xml:space="preserve">, </w:t>
      </w:r>
      <w:r>
        <w:t xml:space="preserve"> in </w:t>
      </w:r>
      <w:proofErr w:type="spellStart"/>
      <w:r>
        <w:rPr>
          <w:i/>
          <w:iCs/>
        </w:rPr>
        <w:t>Dziedzictwo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Witolda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Kuli</w:t>
      </w:r>
      <w:proofErr w:type="spellEnd"/>
      <w:r>
        <w:rPr>
          <w:i/>
          <w:iCs/>
        </w:rPr>
        <w:t xml:space="preserve">, </w:t>
      </w:r>
      <w:r>
        <w:t xml:space="preserve"> </w:t>
      </w:r>
      <w:proofErr w:type="spellStart"/>
      <w:r>
        <w:t>Warsawa</w:t>
      </w:r>
      <w:proofErr w:type="spellEnd"/>
      <w:r>
        <w:t xml:space="preserve"> 1990, pp. 65-81.</w:t>
      </w:r>
    </w:p>
    <w:p w:rsidR="00C37730" w:rsidRDefault="00C37730" w:rsidP="00C37730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i/>
          <w:iCs/>
        </w:rPr>
        <w:t xml:space="preserve">La storiografia polacca alle soglie dell’indipendenza, </w:t>
      </w:r>
      <w:r>
        <w:t xml:space="preserve"> in </w:t>
      </w:r>
      <w:r>
        <w:rPr>
          <w:i/>
          <w:iCs/>
        </w:rPr>
        <w:t xml:space="preserve">Polonia </w:t>
      </w:r>
      <w:proofErr w:type="spellStart"/>
      <w:r>
        <w:rPr>
          <w:i/>
          <w:iCs/>
        </w:rPr>
        <w:t>restituta</w:t>
      </w:r>
      <w:proofErr w:type="spellEnd"/>
      <w:r>
        <w:rPr>
          <w:i/>
          <w:iCs/>
        </w:rPr>
        <w:t xml:space="preserve">. L’Italia e la ricostituzione della Polonia, </w:t>
      </w:r>
      <w:r>
        <w:t xml:space="preserve"> a c. di </w:t>
      </w:r>
      <w:smartTag w:uri="urn:schemas-microsoft-com:office:smarttags" w:element="PersonName">
        <w:smartTagPr>
          <w:attr w:name="ProductID" w:val="M. Herling"/>
        </w:smartTagPr>
        <w:r>
          <w:t xml:space="preserve">M. </w:t>
        </w:r>
        <w:proofErr w:type="spellStart"/>
        <w:r>
          <w:t>Herling</w:t>
        </w:r>
      </w:smartTag>
      <w:proofErr w:type="spellEnd"/>
      <w:r>
        <w:t xml:space="preserve">, Milano, </w:t>
      </w:r>
      <w:proofErr w:type="spellStart"/>
      <w:r>
        <w:t>CIRSS-Anima</w:t>
      </w:r>
      <w:proofErr w:type="spellEnd"/>
      <w:r>
        <w:t>, 1992, pp. 143-62.</w:t>
      </w:r>
    </w:p>
    <w:p w:rsidR="00C37730" w:rsidRDefault="00C37730" w:rsidP="00C37730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i/>
          <w:iCs/>
        </w:rPr>
        <w:t xml:space="preserve">Storiografia e questione nazionale in Polonia fra Otto e Novecento, </w:t>
      </w:r>
      <w:r>
        <w:t>“Storia della storiografia. Rivista internazionale”, 20 (1991), pp. 29-46.</w:t>
      </w:r>
    </w:p>
    <w:p w:rsidR="00C37730" w:rsidRDefault="00C37730" w:rsidP="00C37730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i/>
          <w:iCs/>
        </w:rPr>
        <w:t xml:space="preserve">Le “Riflessioni sulla storia” di </w:t>
      </w:r>
      <w:proofErr w:type="spellStart"/>
      <w:r>
        <w:rPr>
          <w:i/>
          <w:iCs/>
        </w:rPr>
        <w:t>Witold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Kula</w:t>
      </w:r>
      <w:proofErr w:type="spellEnd"/>
      <w:r>
        <w:rPr>
          <w:i/>
          <w:iCs/>
        </w:rPr>
        <w:t xml:space="preserve">, </w:t>
      </w:r>
      <w:r>
        <w:t xml:space="preserve"> “Annali dell’Istituto Italiano per gli Studi Storici” XII (1991/94), pp. 639-59.</w:t>
      </w:r>
    </w:p>
    <w:p w:rsidR="00000000" w:rsidRPr="00C37730" w:rsidRDefault="00C37730" w:rsidP="0044675D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C37730">
        <w:rPr>
          <w:i/>
          <w:iCs/>
        </w:rPr>
        <w:t xml:space="preserve">Per la conoscenza della Polonia in Italia. Il contributo di Umberto </w:t>
      </w:r>
      <w:proofErr w:type="spellStart"/>
      <w:r w:rsidRPr="00C37730">
        <w:rPr>
          <w:i/>
          <w:iCs/>
        </w:rPr>
        <w:t>Zanotti</w:t>
      </w:r>
      <w:proofErr w:type="spellEnd"/>
      <w:r w:rsidRPr="00C37730">
        <w:rPr>
          <w:i/>
          <w:iCs/>
        </w:rPr>
        <w:t xml:space="preserve"> Bianco, </w:t>
      </w:r>
      <w:r w:rsidRPr="00C37730">
        <w:rPr>
          <w:iCs/>
        </w:rPr>
        <w:t xml:space="preserve">in </w:t>
      </w:r>
      <w:r w:rsidRPr="00C37730">
        <w:rPr>
          <w:i/>
          <w:iCs/>
        </w:rPr>
        <w:t>Storia, Filosofia e letteratura. Studi in onore di Gennaro Sasso</w:t>
      </w:r>
      <w:r w:rsidRPr="00C37730">
        <w:rPr>
          <w:iCs/>
        </w:rPr>
        <w:t xml:space="preserve">, a c. di </w:t>
      </w:r>
      <w:smartTag w:uri="urn:schemas-microsoft-com:office:smarttags" w:element="PersonName">
        <w:smartTagPr>
          <w:attr w:name="ProductID" w:val="M. Herling"/>
        </w:smartTagPr>
        <w:r w:rsidRPr="00C37730">
          <w:rPr>
            <w:iCs/>
          </w:rPr>
          <w:t xml:space="preserve">M. </w:t>
        </w:r>
        <w:proofErr w:type="spellStart"/>
        <w:r w:rsidRPr="00C37730">
          <w:rPr>
            <w:iCs/>
          </w:rPr>
          <w:t>Herling</w:t>
        </w:r>
      </w:smartTag>
      <w:proofErr w:type="spellEnd"/>
      <w:r w:rsidRPr="00C37730">
        <w:rPr>
          <w:iCs/>
        </w:rPr>
        <w:t xml:space="preserve"> e M. Reale, Napoli, </w:t>
      </w:r>
      <w:proofErr w:type="spellStart"/>
      <w:smartTag w:uri="urn:schemas-microsoft-com:office:smarttags" w:element="PersonName">
        <w:r w:rsidRPr="00C37730">
          <w:rPr>
            <w:iCs/>
          </w:rPr>
          <w:t>Bibliopolis</w:t>
        </w:r>
      </w:smartTag>
      <w:proofErr w:type="spellEnd"/>
      <w:r>
        <w:rPr>
          <w:iCs/>
        </w:rPr>
        <w:t>, 1999, pp. 759 – 778.</w:t>
      </w:r>
    </w:p>
    <w:p w:rsidR="00C37730" w:rsidRPr="00C37730" w:rsidRDefault="00C37730" w:rsidP="004467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 xml:space="preserve">Quali memorie per il XXI secolo? Ricerca storica e archivi sulla Polonia del Novecento, </w:t>
      </w:r>
      <w:r>
        <w:rPr>
          <w:rStyle w:val="Enfasicorsivo"/>
          <w:i w:val="0"/>
        </w:rPr>
        <w:t>“</w:t>
      </w:r>
      <w:proofErr w:type="spellStart"/>
      <w:r>
        <w:rPr>
          <w:rStyle w:val="Enfasicorsivo"/>
          <w:i w:val="0"/>
        </w:rPr>
        <w:t>Pl.it.</w:t>
      </w:r>
      <w:proofErr w:type="spellEnd"/>
      <w:r>
        <w:rPr>
          <w:rStyle w:val="Enfasicorsivo"/>
          <w:i w:val="0"/>
        </w:rPr>
        <w:t xml:space="preserve"> Rassegna italiana di argomenti polacchi”, 2007.</w:t>
      </w:r>
    </w:p>
    <w:p w:rsidR="00C37730" w:rsidRPr="00ED458C" w:rsidRDefault="00C37730" w:rsidP="00C37730">
      <w:pPr>
        <w:spacing w:after="0" w:line="240" w:lineRule="auto"/>
        <w:ind w:left="714"/>
        <w:jc w:val="both"/>
        <w:rPr>
          <w:rStyle w:val="Enfasicorsivo"/>
          <w:i w:val="0"/>
          <w:iCs w:val="0"/>
        </w:rPr>
      </w:pPr>
    </w:p>
    <w:p w:rsidR="0017478D" w:rsidRDefault="0017478D" w:rsidP="0017478D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AA.VV., </w:t>
      </w:r>
      <w:r>
        <w:rPr>
          <w:i/>
          <w:iCs/>
        </w:rPr>
        <w:t xml:space="preserve">Polonia </w:t>
      </w:r>
      <w:proofErr w:type="spellStart"/>
      <w:r>
        <w:rPr>
          <w:i/>
          <w:iCs/>
        </w:rPr>
        <w:t>restituta</w:t>
      </w:r>
      <w:proofErr w:type="spellEnd"/>
      <w:r>
        <w:rPr>
          <w:i/>
          <w:iCs/>
        </w:rPr>
        <w:t>. L’Italia e la ricostituzione della Polonia, 1918-</w:t>
      </w:r>
      <w:smartTag w:uri="urn:schemas-microsoft-com:office:smarttags" w:element="metricconverter">
        <w:smartTagPr>
          <w:attr w:name="ProductID" w:val="1921, a"/>
        </w:smartTagPr>
        <w:r>
          <w:rPr>
            <w:i/>
            <w:iCs/>
          </w:rPr>
          <w:t xml:space="preserve">1921, </w:t>
        </w:r>
        <w:r>
          <w:t>a</w:t>
        </w:r>
      </w:smartTag>
      <w:r>
        <w:t xml:space="preserve"> cura di M. </w:t>
      </w:r>
      <w:proofErr w:type="spellStart"/>
      <w:r>
        <w:t>Herling</w:t>
      </w:r>
      <w:proofErr w:type="spellEnd"/>
      <w:r>
        <w:t>, Milano 1992.</w:t>
      </w:r>
    </w:p>
    <w:p w:rsidR="0017478D" w:rsidRDefault="0017478D" w:rsidP="0017478D">
      <w:pPr>
        <w:pStyle w:val="Paragrafoelenco"/>
      </w:pPr>
    </w:p>
    <w:p w:rsidR="0017478D" w:rsidRDefault="0017478D" w:rsidP="0017478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en-US"/>
        </w:rPr>
      </w:pPr>
      <w:r w:rsidRPr="0017478D">
        <w:rPr>
          <w:lang w:val="en-US"/>
        </w:rPr>
        <w:lastRenderedPageBreak/>
        <w:t xml:space="preserve">T. Snyder, </w:t>
      </w:r>
      <w:r w:rsidRPr="0017478D">
        <w:rPr>
          <w:i/>
          <w:lang w:val="en-US"/>
        </w:rPr>
        <w:t>The Reconstruction of Nations. Poland, Ukraine, Lithuania, Belarus, 1569 – 1999</w:t>
      </w:r>
      <w:r>
        <w:rPr>
          <w:lang w:val="en-US"/>
        </w:rPr>
        <w:t>, Yale University Press, 2003.</w:t>
      </w:r>
    </w:p>
    <w:p w:rsidR="0017478D" w:rsidRDefault="0017478D" w:rsidP="0017478D">
      <w:pPr>
        <w:spacing w:after="0" w:line="240" w:lineRule="auto"/>
        <w:jc w:val="both"/>
        <w:rPr>
          <w:lang w:val="en-US"/>
        </w:rPr>
      </w:pPr>
    </w:p>
    <w:p w:rsidR="0017478D" w:rsidRDefault="0017478D" w:rsidP="0017478D">
      <w:pPr>
        <w:spacing w:after="0" w:line="240" w:lineRule="auto"/>
        <w:jc w:val="both"/>
      </w:pPr>
      <w:r w:rsidRPr="0017478D">
        <w:t xml:space="preserve">Opere  sulla storia della Polonia e della letteratura polacca (in trad. </w:t>
      </w:r>
      <w:proofErr w:type="spellStart"/>
      <w:r>
        <w:t>ingl</w:t>
      </w:r>
      <w:proofErr w:type="spellEnd"/>
      <w:r>
        <w:t xml:space="preserve">. e </w:t>
      </w:r>
      <w:proofErr w:type="spellStart"/>
      <w:r>
        <w:t>it</w:t>
      </w:r>
      <w:proofErr w:type="spellEnd"/>
      <w:r>
        <w:t>.)</w:t>
      </w:r>
    </w:p>
    <w:p w:rsidR="0017478D" w:rsidRDefault="0017478D" w:rsidP="0017478D">
      <w:pPr>
        <w:spacing w:after="0" w:line="240" w:lineRule="auto"/>
        <w:jc w:val="both"/>
      </w:pPr>
    </w:p>
    <w:p w:rsidR="0017478D" w:rsidRDefault="0017478D" w:rsidP="0017478D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17478D">
        <w:rPr>
          <w:i/>
        </w:rPr>
        <w:t>Storia della Polonia</w:t>
      </w:r>
      <w:r>
        <w:t xml:space="preserve">, a c. di A. </w:t>
      </w:r>
      <w:proofErr w:type="spellStart"/>
      <w:r>
        <w:t>Gieysztor</w:t>
      </w:r>
      <w:proofErr w:type="spellEnd"/>
      <w:r>
        <w:t>, Milano Bompiani 1983.</w:t>
      </w:r>
    </w:p>
    <w:p w:rsidR="0017478D" w:rsidRDefault="0017478D" w:rsidP="0017478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17478D">
        <w:rPr>
          <w:lang w:val="en-US"/>
        </w:rPr>
        <w:t xml:space="preserve">N. Davis, </w:t>
      </w:r>
      <w:r w:rsidRPr="0017478D">
        <w:rPr>
          <w:i/>
          <w:lang w:val="en-US"/>
        </w:rPr>
        <w:t>God’s Playground. A history of Poland</w:t>
      </w:r>
      <w:r w:rsidRPr="0017478D">
        <w:rPr>
          <w:lang w:val="en-US"/>
        </w:rPr>
        <w:t xml:space="preserve">, vol. </w:t>
      </w:r>
      <w:r>
        <w:rPr>
          <w:lang w:val="en-US"/>
        </w:rPr>
        <w:t xml:space="preserve">II </w:t>
      </w:r>
      <w:r w:rsidRPr="0017478D">
        <w:rPr>
          <w:i/>
          <w:lang w:val="en-US"/>
        </w:rPr>
        <w:t>1795 to the Present</w:t>
      </w:r>
      <w:r>
        <w:rPr>
          <w:lang w:val="en-US"/>
        </w:rPr>
        <w:t>, Clarendon Press Oxford, 1981.</w:t>
      </w:r>
    </w:p>
    <w:p w:rsidR="0017478D" w:rsidRPr="0017478D" w:rsidRDefault="0017478D" w:rsidP="0017478D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C40678">
        <w:rPr>
          <w:i/>
        </w:rPr>
        <w:t>Storia della letteratura polacca</w:t>
      </w:r>
      <w:r w:rsidRPr="0017478D">
        <w:t xml:space="preserve">, a c. </w:t>
      </w:r>
      <w:r>
        <w:t xml:space="preserve">di L. </w:t>
      </w:r>
      <w:proofErr w:type="spellStart"/>
      <w:r>
        <w:t>Marinelli</w:t>
      </w:r>
      <w:proofErr w:type="spellEnd"/>
      <w:r>
        <w:t xml:space="preserve">, Torino, Einaudi 2004. </w:t>
      </w:r>
    </w:p>
    <w:p w:rsidR="0017478D" w:rsidRPr="0017478D" w:rsidRDefault="0017478D" w:rsidP="0017478D">
      <w:pPr>
        <w:spacing w:after="0" w:line="240" w:lineRule="auto"/>
        <w:jc w:val="both"/>
      </w:pPr>
    </w:p>
    <w:p w:rsidR="00C37730" w:rsidRPr="0017478D" w:rsidRDefault="00C37730" w:rsidP="00C37730">
      <w:pPr>
        <w:rPr>
          <w:sz w:val="24"/>
          <w:szCs w:val="24"/>
        </w:rPr>
      </w:pPr>
    </w:p>
    <w:sectPr w:rsidR="00C37730" w:rsidRPr="00174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AD37AC"/>
    <w:multiLevelType w:val="hybridMultilevel"/>
    <w:tmpl w:val="8BE201E8"/>
    <w:lvl w:ilvl="0" w:tplc="7C78A3BC">
      <w:start w:val="19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37730"/>
    <w:rsid w:val="0017478D"/>
    <w:rsid w:val="00191083"/>
    <w:rsid w:val="0044675D"/>
    <w:rsid w:val="00C37730"/>
    <w:rsid w:val="00C40678"/>
    <w:rsid w:val="00C91AD8"/>
    <w:rsid w:val="00D34A06"/>
    <w:rsid w:val="00D9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C3773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37730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37730"/>
    <w:pPr>
      <w:ind w:left="720"/>
      <w:contextualSpacing/>
    </w:pPr>
  </w:style>
  <w:style w:type="character" w:styleId="Enfasicorsivo">
    <w:name w:val="Emphasis"/>
    <w:basedOn w:val="Carpredefinitoparagrafo"/>
    <w:qFormat/>
    <w:rsid w:val="00C37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2016-01-10T17:34:00Z</dcterms:created>
  <dcterms:modified xsi:type="dcterms:W3CDTF">2016-01-10T18:31:00Z</dcterms:modified>
</cp:coreProperties>
</file>